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¡Hola, Patricia! Qué gusto saludarte. Como colega en la gestión académica y apasionada por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Design Thinking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, me encanta el reto que planteas. Diseñar para profesionales con experiencia no es solo transmitir contenido; es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facilitar una transformación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donde sus saberes previos sean la materia prima de la co-creación.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He diseñado este curso titulado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"Estrategias de Talento Humano 4.0: Agilidad e Innovación"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. Está pensado para ser disruptivo, práctico y altamente aplicable al entorno laboral real.</w:t>
      </w:r>
    </w:p>
    <w:p w:rsidR="00000000" w:rsidDel="00000000" w:rsidP="00000000" w:rsidRDefault="00000000" w:rsidRPr="00000000" w14:paraId="0000000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Estructura General del Curso (40 Horas)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Distribución: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4 Unidades (10 horas c/u).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Horas Sincrónicas: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6 horas en total (1.5h por unidad).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Horas Asincrónicas: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34 horas en total (8.5h por unidad).</w:t>
      </w:r>
    </w:p>
    <w:p w:rsidR="00000000" w:rsidDel="00000000" w:rsidP="00000000" w:rsidRDefault="00000000" w:rsidRPr="00000000" w14:paraId="0000000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Diseño de las Unidades</w:t>
      </w:r>
    </w:p>
    <w:tbl>
      <w:tblPr>
        <w:tblStyle w:val="Table1"/>
        <w:tblW w:w="9360.0" w:type="dxa"/>
        <w:jc w:val="left"/>
        <w:tblBorders>
          <w:top w:color="c4c7c5" w:space="0" w:sz="6" w:val="single"/>
          <w:left w:color="c4c7c5" w:space="0" w:sz="6" w:val="single"/>
          <w:bottom w:color="c4c7c5" w:space="0" w:sz="6" w:val="single"/>
          <w:right w:color="c4c7c5" w:space="0" w:sz="6" w:val="single"/>
          <w:insideH w:color="c4c7c5" w:space="0" w:sz="6" w:val="single"/>
          <w:insideV w:color="c4c7c5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Unidad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Título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Foco Estratégico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1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El mindset de HR 4.0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rtl w:val="0"/>
              </w:rPr>
              <w:t xml:space="preserve">Design Thinking aplicado a RRHH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2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Atracción y Employee Journey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rtl w:val="0"/>
              </w:rPr>
              <w:t xml:space="preserve">Experiencia del colaborador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3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Desempeño y Cultura de Feedback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rtl w:val="0"/>
              </w:rPr>
              <w:t xml:space="preserve">Liderazgo y conversaciones difíciles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4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rtl w:val="0"/>
              </w:rPr>
              <w:t xml:space="preserve">People Analytics &amp; Futuro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f1f1f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rtl w:val="0"/>
              </w:rPr>
              <w:t xml:space="preserve">Toma de decisiones basada en datos</w:t>
            </w:r>
          </w:p>
        </w:tc>
      </w:tr>
    </w:tbl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Estructura de la Clase (Aplicable a cada Unidad)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Para mantener la coherencia pedagógica, cada lección seguirá este flujo: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Inicio (15%):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Activación neuronal mediante una pregunta disruptiva o un caso de 2 minutos.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Desarrollo (60%):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Actividad práctica "Hands-on" (prototipar soluciones).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Cierre (25%):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Metacognición (¿Qué aprendí hoy y cómo lo integro?).</w:t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Desarrollo Detallado</w:t>
      </w:r>
    </w:p>
    <w:p w:rsidR="00000000" w:rsidDel="00000000" w:rsidP="00000000" w:rsidRDefault="00000000" w:rsidRPr="00000000" w14:paraId="0000001D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Unidad 1: El Mindset de HR 4.0 (10h: 1.5 Sync / 8.5 Async)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Sincrónico (1.5h):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Kick-off.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Presentación del "HR Canvas".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Inicio: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Encuesta rápida: "¿Cuál es el mayor dolor de tu área de RRHH hoy?" (Mentimeter).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Desarrollo: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Ideación grupal sobre un problema de gestión real.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Cierre: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¿Cómo cambia nuestra percepción de "empleado" a "usuario"?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Asincrónico (8.5h):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Análisis de un caso de éxito de innovación en RRHH (lectura/video).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Foro: Reflexión sobre la burocracia vs. agilidad en sus propias empresas.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Actividad: Dibujar el "Mapa de Empatía" de un colaborador de su empresa actual.</w:t>
      </w:r>
    </w:p>
    <w:p w:rsidR="00000000" w:rsidDel="00000000" w:rsidP="00000000" w:rsidRDefault="00000000" w:rsidRPr="00000000" w14:paraId="00000026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Unidad 2: Atracción y Employee Journey (10h: 1.5 Sync / 8.5 Async)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Sincrónico (1.5h):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Roleplay Express.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Inicio: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Video viral de una mala experiencia de reclutamiento.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Desarrollo: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Taller de diseño del "Candidate Journey Map" usando herramientas digitales compartidas (ej. Jamboard o pizarra de la plataforma).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Cierre: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¿Qué nos llevamos para mejorar el proceso de selección mañana?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Asincrónico (8.5h):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Diseño de una propuesta de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Employer Branding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digital (video pitch de 1 min).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Análisis de "Buyer Persona" para una vacante difícil de cubrir.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Revisión de pares: Comentar las propuestas de los compañeros.</w:t>
      </w:r>
    </w:p>
    <w:p w:rsidR="00000000" w:rsidDel="00000000" w:rsidP="00000000" w:rsidRDefault="00000000" w:rsidRPr="00000000" w14:paraId="0000002F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Unidad 3: Desempeño y Cultura de Feedback (10h: 1.5 Sync / 8.5 Async)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Sincrónico (1.5h):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Laboratorio de Conversaciones.</w:t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Inicio: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Dinámica "El objeto difícil" (Describir un feedback sin usar palabras negativas).</w:t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Desarrollo: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Simulaciones en parejas (breakout rooms) sobre cómo dar feedback basado en hechos, no juicios.</w:t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Cierre: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Metacognición: ¿Qué sesgo personal detecté en mi forma de evaluar?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Asincrónico (8.5h):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Lectura de metodología OKR (Objectives and Key Results).</w:t>
      </w:r>
    </w:p>
    <w:p w:rsidR="00000000" w:rsidDel="00000000" w:rsidP="00000000" w:rsidRDefault="00000000" w:rsidRPr="00000000" w14:paraId="0000003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Actividad: Transformar una evaluación de desempeño tradicional en una conversación de desarrollo.</w:t>
      </w:r>
    </w:p>
    <w:p w:rsidR="00000000" w:rsidDel="00000000" w:rsidP="00000000" w:rsidRDefault="00000000" w:rsidRPr="00000000" w14:paraId="0000003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Video-microaprendizaje: Grabar una simulación de retroalimentación 360°.</w:t>
      </w:r>
    </w:p>
    <w:p w:rsidR="00000000" w:rsidDel="00000000" w:rsidP="00000000" w:rsidRDefault="00000000" w:rsidRPr="00000000" w14:paraId="00000038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Unidad 4: People Analytics y Futuro (10h: 1.5 Sync / 8.5 Async)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Sincrónico (1.5h):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Pitch Final.</w:t>
      </w:r>
    </w:p>
    <w:p w:rsidR="00000000" w:rsidDel="00000000" w:rsidP="00000000" w:rsidRDefault="00000000" w:rsidRPr="00000000" w14:paraId="0000003A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Inicio: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Análisis de un gráfico de datos de RRHH sorprendente (ej. rotación vs. salario).</w:t>
      </w:r>
    </w:p>
    <w:p w:rsidR="00000000" w:rsidDel="00000000" w:rsidP="00000000" w:rsidRDefault="00000000" w:rsidRPr="00000000" w14:paraId="0000003B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Desarrollo: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Presentación relámpago de los proyectos finales (prototipos desarrollados durante el curso).</w:t>
      </w:r>
    </w:p>
    <w:p w:rsidR="00000000" w:rsidDel="00000000" w:rsidP="00000000" w:rsidRDefault="00000000" w:rsidRPr="00000000" w14:paraId="0000003C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Cierre: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Reflexión final: ¿Cómo liderar el cambio en RRHH desde mañana?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Asincrónico (8.5h):</w:t>
      </w:r>
    </w:p>
    <w:p w:rsidR="00000000" w:rsidDel="00000000" w:rsidP="00000000" w:rsidRDefault="00000000" w:rsidRPr="00000000" w14:paraId="0000003E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Creación de un tablero de indicadores clave (Dashboard) simple en Excel/Sheets.</w:t>
      </w:r>
    </w:p>
    <w:p w:rsidR="00000000" w:rsidDel="00000000" w:rsidP="00000000" w:rsidRDefault="00000000" w:rsidRPr="00000000" w14:paraId="0000003F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Reflexión escrita: Impacto de la IA en su rol específico.</w:t>
      </w:r>
    </w:p>
    <w:p w:rsidR="00000000" w:rsidDel="00000000" w:rsidP="00000000" w:rsidRDefault="00000000" w:rsidRPr="00000000" w14:paraId="00000040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40.7999968528748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Autoevaluación del curso: ¿Qué competencias logré fortalecer?</w:t>
      </w:r>
    </w:p>
    <w:p w:rsidR="00000000" w:rsidDel="00000000" w:rsidP="00000000" w:rsidRDefault="00000000" w:rsidRPr="00000000" w14:paraId="0000004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Recursos Sugeridos (Low-Cost/Aula Virtual)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Para mantener la modalidad en línea fluida, utiliza herramientas que ya están en la nube: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Para Pizarras Colaborativas: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Padlet, Jamboard o Miro (versiones gratuitas).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Para Encuestas/Activación: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Mentimeter, Slido o encuestas nativas de Zoom/Teams.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Para Feedback: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Grabaciones de audio breves (WhatsApp o notas de voz integradas en la LMS) para humanizar el trato.</w:t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590.3999984264374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Para Prototipado: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Presentaciones de Google Slides (son suficientes para diseñar un flujo de proceso).</w:t>
      </w:r>
    </w:p>
    <w:p w:rsidR="00000000" w:rsidDel="00000000" w:rsidP="00000000" w:rsidRDefault="00000000" w:rsidRPr="00000000" w14:paraId="0000004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Consejos para Patricia (Pedagogía Design Thinking)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Fomenta la "Iteración":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Si una actividad asincrónica no sale perfecta, permite que la entreguen dos veces tras tu feedback. Eso es diseño ágil.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Valida la Experiencia: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Al ser profesionales con experiencia, no les des teoría vacía. Usa la técnica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"Caso Reverso"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: ellos traen un problema real de su oficina y el curso es el vehículo para resolverlo.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La Metacognición es Clave: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Al final de cada unidad, pídeles que respondan: </w:t>
      </w: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¿Qué idea vieja tuve que desaprender hoy?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Esto consolida el aprendizaje profundo.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¿Qué te parece este esquema? Podemos profundizar en el contenido de cualquier unidad si deseas ajustar el enfoque técnico.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40.7999968528748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590.3999984264374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